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142"/>
        <w:jc w:val="center"/>
        <w:spacing w:after="384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детей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неделю июня медики напоминают о здоровье </w:t>
      </w:r>
      <w:r>
        <w:rPr>
          <w:rFonts w:ascii="Times New Roman" w:hAnsi="Times New Roman" w:cs="Times New Roman"/>
          <w:sz w:val="28"/>
          <w:szCs w:val="28"/>
        </w:rPr>
        <w:t xml:space="preserve">детей. Диетолог областного центра медицинской профилактики Наталья Динуллина призывает не игнорировать проблему лишнего веса у детей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говорит о том, что с каждым годом неуклонно растёт процент детей и подростков с избыточной массой тела: за последние 20 лет ожирение диагностируется у подростков в 6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чаще. </w:t>
      </w:r>
      <w:r>
        <w:rPr>
          <w:rFonts w:ascii="Times New Roman" w:hAnsi="Times New Roman" w:cs="Times New Roman"/>
          <w:sz w:val="28"/>
          <w:szCs w:val="28"/>
        </w:rPr>
        <w:t xml:space="preserve">При этом причиной детского ожирения является не фастфуд, а нездоровая культура питания.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ожирение диагностируется в первый год жизни, 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6 лет и в период полового созревания. Причиной ожирения могут быть в том числе генетические аномалии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эндокринные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заболевания гипоталамуса, лекарственные препараты,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hAnsi="Times New Roman" w:cs="Times New Roman"/>
          <w:sz w:val="28"/>
          <w:szCs w:val="28"/>
        </w:rPr>
        <w:t xml:space="preserve">простое</w:t>
      </w:r>
      <w:r>
        <w:rPr>
          <w:rFonts w:ascii="Times New Roman" w:hAnsi="Times New Roman" w:cs="Times New Roman"/>
          <w:sz w:val="28"/>
          <w:szCs w:val="28"/>
        </w:rPr>
        <w:t xml:space="preserve"> ожирени</w:t>
      </w:r>
      <w:r>
        <w:rPr>
          <w:rFonts w:ascii="Times New Roman" w:hAnsi="Times New Roman" w:cs="Times New Roman"/>
          <w:sz w:val="28"/>
          <w:szCs w:val="28"/>
        </w:rPr>
        <w:t xml:space="preserve">е, в основе которого избыток калорий в питании и малоподвижный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гораздо чаще.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выявлена наследственная предрасположен</w:t>
      </w:r>
      <w:r>
        <w:rPr>
          <w:rFonts w:ascii="Times New Roman" w:hAnsi="Times New Roman" w:cs="Times New Roman"/>
          <w:sz w:val="28"/>
          <w:szCs w:val="28"/>
        </w:rPr>
        <w:t xml:space="preserve">ность к ожирению (у каждого второго ребёнка с ожирением один родитель имеет избыточную массу тела, при этом достовернее связь «ребёнок-мать», чем «ребёнок-отец», у каждого третьего – оба родителя), образ жизни остаётся ключевым фактором риска его развития.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Опасность ожирения для детей и подростков заключается в развитии осложнений: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</w:t>
      </w:r>
      <w:r>
        <w:rPr>
          <w:rFonts w:ascii="Times New Roman" w:hAnsi="Times New Roman" w:cs="Times New Roman"/>
          <w:sz w:val="28"/>
          <w:szCs w:val="28"/>
        </w:rPr>
        <w:t xml:space="preserve">ахарн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диабет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2 типа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</w:t>
      </w:r>
      <w:r>
        <w:rPr>
          <w:rFonts w:ascii="Times New Roman" w:hAnsi="Times New Roman" w:cs="Times New Roman"/>
          <w:sz w:val="28"/>
          <w:szCs w:val="28"/>
        </w:rPr>
        <w:t xml:space="preserve">ртериальн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гипертензи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</w:t>
      </w:r>
      <w:r>
        <w:rPr>
          <w:rFonts w:ascii="Times New Roman" w:hAnsi="Times New Roman" w:cs="Times New Roman"/>
          <w:sz w:val="28"/>
          <w:szCs w:val="28"/>
        </w:rPr>
        <w:t xml:space="preserve">теросклероз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бструктивно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апноэ сна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</w:t>
      </w:r>
      <w:r>
        <w:rPr>
          <w:rFonts w:ascii="Times New Roman" w:hAnsi="Times New Roman" w:cs="Times New Roman"/>
          <w:sz w:val="28"/>
          <w:szCs w:val="28"/>
        </w:rPr>
        <w:t xml:space="preserve">еалкогольн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жиров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болезнь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печени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</w:t>
      </w:r>
      <w:r>
        <w:rPr>
          <w:rFonts w:ascii="Times New Roman" w:hAnsi="Times New Roman" w:cs="Times New Roman"/>
          <w:sz w:val="28"/>
          <w:szCs w:val="28"/>
        </w:rPr>
        <w:t xml:space="preserve">елчнокаменн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болезнь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</w:t>
      </w:r>
      <w:r>
        <w:rPr>
          <w:rFonts w:ascii="Times New Roman" w:hAnsi="Times New Roman" w:cs="Times New Roman"/>
          <w:sz w:val="28"/>
          <w:szCs w:val="28"/>
        </w:rPr>
        <w:t xml:space="preserve">аболевания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нкозаболевания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ожирение у детей связано с увеличением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жировых клеток, а не их размера, в связи с чем </w:t>
      </w:r>
      <w:r>
        <w:rPr>
          <w:rFonts w:ascii="Times New Roman" w:hAnsi="Times New Roman" w:cs="Times New Roman"/>
          <w:sz w:val="28"/>
          <w:szCs w:val="28"/>
        </w:rPr>
        <w:t xml:space="preserve">эта проблема чаще всего остаётся у таких людей и во взрослом возрасте.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ожирения у детей и подростков в отличие от взрослых не предполагает уменьшение числа калорий и ни в коем случае не предусматривает соблюдение каких-то жёстких ограничительных диет.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успешной коррекции – создание тандема ребёнок-родители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Принципы здорового питания должны внедряться как культура питания каждой отдельной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обучать даже самых маленьких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правильно распределять продукты на те, что необходимы ежедневно</w:t>
      </w:r>
      <w:r>
        <w:rPr>
          <w:rFonts w:ascii="Times New Roman" w:hAnsi="Times New Roman" w:cs="Times New Roman"/>
          <w:sz w:val="28"/>
          <w:szCs w:val="28"/>
        </w:rPr>
        <w:t xml:space="preserve"> (крупы, овощи, фрукты, молоко и молочные продукты, нерафинированные растительные масла)</w:t>
      </w:r>
      <w:r>
        <w:rPr>
          <w:rFonts w:ascii="Times New Roman" w:hAnsi="Times New Roman" w:cs="Times New Roman"/>
          <w:sz w:val="28"/>
          <w:szCs w:val="28"/>
        </w:rPr>
        <w:t xml:space="preserve">, несколько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(мясо, рыба, яйца)</w:t>
      </w:r>
      <w:r>
        <w:rPr>
          <w:rFonts w:ascii="Times New Roman" w:hAnsi="Times New Roman" w:cs="Times New Roman"/>
          <w:sz w:val="28"/>
          <w:szCs w:val="28"/>
        </w:rPr>
        <w:t xml:space="preserve">, и те, что следует ограничить</w:t>
      </w:r>
      <w:r>
        <w:rPr>
          <w:rFonts w:ascii="Times New Roman" w:hAnsi="Times New Roman" w:cs="Times New Roman"/>
          <w:sz w:val="28"/>
          <w:szCs w:val="28"/>
        </w:rPr>
        <w:t xml:space="preserve"> (фастфуд, сдоба, сладости, колбасы и сосиски)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борьбу с детским ожирением начинать нужно с себя. Только позитивный пример важного для ребёнка человека создаёт крепкую положительную мотивацию (в связи с этим </w:t>
      </w:r>
      <w:r>
        <w:rPr>
          <w:rFonts w:ascii="Times New Roman" w:hAnsi="Times New Roman" w:cs="Times New Roman"/>
          <w:sz w:val="28"/>
          <w:szCs w:val="28"/>
        </w:rPr>
        <w:t xml:space="preserve">нуж</w:t>
      </w:r>
      <w:r>
        <w:rPr>
          <w:rFonts w:ascii="Times New Roman" w:hAnsi="Times New Roman" w:cs="Times New Roman"/>
          <w:sz w:val="28"/>
          <w:szCs w:val="28"/>
        </w:rPr>
        <w:t xml:space="preserve">но быть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ребёнка тем самым «важным человеком»). </w:t>
      </w:r>
      <w:r>
        <w:rPr>
          <w:rFonts w:ascii="Times New Roman" w:hAnsi="Times New Roman" w:cs="Times New Roman"/>
          <w:sz w:val="28"/>
          <w:szCs w:val="28"/>
        </w:rPr>
        <w:t xml:space="preserve">Не концентрируйтесь на похудении, не устраивайте ежедневных взвешиваний. Стремление сбросить вес должно ассоциироваться у ребёнка только со здоровьем, но никак со стандартами внешности. 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1764319"/>
      <w:docPartObj>
        <w:docPartGallery w:val="Page Numbers (Bottom of Page)"/>
        <w:docPartUnique w:val="true"/>
      </w:docPartObj>
      <w:rPr/>
    </w:sdtPr>
    <w:sdtContent>
      <w:p>
        <w:pPr>
          <w:pStyle w:val="68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4"/>
    <w:uiPriority w:val="99"/>
  </w:style>
  <w:style w:type="character" w:styleId="45">
    <w:name w:val="Footer Char"/>
    <w:basedOn w:val="680"/>
    <w:link w:val="686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List Paragraph"/>
    <w:basedOn w:val="679"/>
    <w:uiPriority w:val="34"/>
    <w:qFormat/>
    <w:pPr>
      <w:contextualSpacing/>
      <w:ind w:left="720"/>
    </w:pPr>
  </w:style>
  <w:style w:type="paragraph" w:styleId="684">
    <w:name w:val="Header"/>
    <w:basedOn w:val="67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80"/>
    <w:link w:val="684"/>
    <w:uiPriority w:val="99"/>
  </w:style>
  <w:style w:type="paragraph" w:styleId="686">
    <w:name w:val="Footer"/>
    <w:basedOn w:val="67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80"/>
    <w:link w:val="68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Румянцева</cp:lastModifiedBy>
  <cp:revision>14</cp:revision>
  <dcterms:created xsi:type="dcterms:W3CDTF">2023-02-14T07:58:00Z</dcterms:created>
  <dcterms:modified xsi:type="dcterms:W3CDTF">2024-05-29T10:56:34Z</dcterms:modified>
</cp:coreProperties>
</file>